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7E" w:rsidRDefault="00E26F7E"/>
    <w:p w:rsidR="00E26F7E" w:rsidRDefault="004F4E0B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一、注意事项：</w:t>
      </w:r>
      <w:r>
        <w:rPr>
          <w:rFonts w:hint="eastAsia"/>
          <w:b/>
          <w:bCs/>
          <w:sz w:val="28"/>
          <w:szCs w:val="36"/>
        </w:rPr>
        <w:t> 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、避免在任何没有样品或微波吸收物的情形下，进行微波功率发射的运行。即使</w:t>
      </w:r>
      <w:r>
        <w:rPr>
          <w:rFonts w:hint="eastAsia"/>
          <w:sz w:val="22"/>
          <w:szCs w:val="28"/>
        </w:rPr>
        <w:t>CEM</w:t>
      </w:r>
      <w:r>
        <w:rPr>
          <w:rFonts w:hint="eastAsia"/>
          <w:sz w:val="22"/>
          <w:szCs w:val="28"/>
        </w:rPr>
        <w:t>微波系统中已设计了过载微波能量的保护转换，但绝对的长时间空载微波依然可能造成磁控管和传感器</w:t>
      </w:r>
      <w:proofErr w:type="gramStart"/>
      <w:r>
        <w:rPr>
          <w:rFonts w:hint="eastAsia"/>
          <w:sz w:val="22"/>
          <w:szCs w:val="28"/>
        </w:rPr>
        <w:t>的衰化和</w:t>
      </w:r>
      <w:proofErr w:type="gramEnd"/>
      <w:r>
        <w:rPr>
          <w:rFonts w:hint="eastAsia"/>
          <w:sz w:val="22"/>
          <w:szCs w:val="28"/>
        </w:rPr>
        <w:t>损坏。试图在空载状况下，通过施加微波功率以</w:t>
      </w:r>
      <w:proofErr w:type="gramStart"/>
      <w:r>
        <w:rPr>
          <w:rFonts w:hint="eastAsia"/>
          <w:sz w:val="22"/>
          <w:szCs w:val="28"/>
        </w:rPr>
        <w:t>测试温压传感器</w:t>
      </w:r>
      <w:proofErr w:type="gramEnd"/>
      <w:r>
        <w:rPr>
          <w:rFonts w:hint="eastAsia"/>
          <w:sz w:val="22"/>
          <w:szCs w:val="28"/>
        </w:rPr>
        <w:t>的性能是错误的，因为空气是非凝聚态物质，不吸收微波。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、以下样品不适合在微波消解容器中使用，禁止在微波系统内随意操作以下物质（根据</w:t>
      </w:r>
      <w:r>
        <w:rPr>
          <w:rFonts w:hint="eastAsia"/>
          <w:sz w:val="22"/>
          <w:szCs w:val="28"/>
        </w:rPr>
        <w:t>CEM</w:t>
      </w: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公司和国际上发表的文献材料）：</w:t>
      </w:r>
      <w:r>
        <w:rPr>
          <w:rFonts w:hint="eastAsia"/>
          <w:sz w:val="22"/>
          <w:szCs w:val="28"/>
        </w:rPr>
        <w:t>                                                                  </w:t>
      </w:r>
      <w:r>
        <w:rPr>
          <w:rFonts w:hint="eastAsia"/>
          <w:sz w:val="22"/>
          <w:szCs w:val="28"/>
        </w:rPr>
        <w:t>·炸药（</w:t>
      </w:r>
      <w:r>
        <w:rPr>
          <w:rFonts w:hint="eastAsia"/>
          <w:sz w:val="22"/>
          <w:szCs w:val="28"/>
        </w:rPr>
        <w:t>TNT</w:t>
      </w:r>
      <w:r>
        <w:rPr>
          <w:rFonts w:hint="eastAsia"/>
          <w:sz w:val="22"/>
          <w:szCs w:val="28"/>
        </w:rPr>
        <w:t>、硝化纤维等）</w:t>
      </w:r>
      <w:r>
        <w:rPr>
          <w:rFonts w:hint="eastAsia"/>
          <w:sz w:val="22"/>
          <w:szCs w:val="28"/>
        </w:rPr>
        <w:t>    </w:t>
      </w:r>
      <w:r>
        <w:rPr>
          <w:rFonts w:hint="eastAsia"/>
          <w:sz w:val="22"/>
          <w:szCs w:val="28"/>
        </w:rPr>
        <w:t>·推进剂（</w:t>
      </w:r>
      <w:proofErr w:type="gramStart"/>
      <w:r>
        <w:rPr>
          <w:rFonts w:hint="eastAsia"/>
          <w:sz w:val="22"/>
          <w:szCs w:val="28"/>
        </w:rPr>
        <w:t>肼</w:t>
      </w:r>
      <w:proofErr w:type="gramEnd"/>
      <w:r>
        <w:rPr>
          <w:rFonts w:hint="eastAsia"/>
          <w:sz w:val="22"/>
          <w:szCs w:val="28"/>
        </w:rPr>
        <w:t>、高氯酸胺等）</w:t>
      </w:r>
      <w:r>
        <w:rPr>
          <w:rFonts w:hint="eastAsia"/>
          <w:sz w:val="22"/>
          <w:szCs w:val="28"/>
        </w:rPr>
        <w:t>  </w:t>
      </w:r>
      <w:r>
        <w:rPr>
          <w:rFonts w:hint="eastAsia"/>
          <w:sz w:val="22"/>
          <w:szCs w:val="28"/>
        </w:rPr>
        <w:t>·高氯酸盐</w:t>
      </w:r>
      <w:r>
        <w:rPr>
          <w:rFonts w:hint="eastAsia"/>
          <w:sz w:val="22"/>
          <w:szCs w:val="28"/>
        </w:rPr>
        <w:t> </w:t>
      </w:r>
      <w:r>
        <w:rPr>
          <w:rFonts w:hint="eastAsia"/>
          <w:sz w:val="22"/>
          <w:szCs w:val="28"/>
        </w:rPr>
        <w:t>·二元醇（乙二醇、丙二醇等）</w:t>
      </w:r>
      <w:r>
        <w:rPr>
          <w:rFonts w:hint="eastAsia"/>
          <w:sz w:val="22"/>
          <w:szCs w:val="28"/>
        </w:rPr>
        <w:t>  </w:t>
      </w:r>
      <w:r>
        <w:rPr>
          <w:rFonts w:hint="eastAsia"/>
          <w:sz w:val="22"/>
          <w:szCs w:val="28"/>
        </w:rPr>
        <w:t>·航空燃料（</w:t>
      </w:r>
      <w:r>
        <w:rPr>
          <w:rFonts w:hint="eastAsia"/>
          <w:sz w:val="22"/>
          <w:szCs w:val="28"/>
        </w:rPr>
        <w:t>JP-1</w:t>
      </w:r>
      <w:r>
        <w:rPr>
          <w:rFonts w:hint="eastAsia"/>
          <w:sz w:val="22"/>
          <w:szCs w:val="28"/>
        </w:rPr>
        <w:t>等）</w:t>
      </w:r>
      <w:r>
        <w:rPr>
          <w:rFonts w:hint="eastAsia"/>
          <w:sz w:val="22"/>
          <w:szCs w:val="28"/>
        </w:rPr>
        <w:t>          </w:t>
      </w:r>
      <w:r>
        <w:rPr>
          <w:rFonts w:hint="eastAsia"/>
          <w:sz w:val="22"/>
          <w:szCs w:val="28"/>
        </w:rPr>
        <w:t>·易燃化学品</w:t>
      </w:r>
      <w:r>
        <w:rPr>
          <w:rFonts w:hint="eastAsia"/>
          <w:sz w:val="22"/>
          <w:szCs w:val="28"/>
        </w:rPr>
        <w:t> </w:t>
      </w:r>
      <w:r>
        <w:rPr>
          <w:rFonts w:hint="eastAsia"/>
          <w:sz w:val="22"/>
          <w:szCs w:val="28"/>
        </w:rPr>
        <w:t>·漆</w:t>
      </w:r>
      <w:r>
        <w:rPr>
          <w:rFonts w:hint="eastAsia"/>
          <w:sz w:val="22"/>
          <w:szCs w:val="28"/>
        </w:rPr>
        <w:t>                          </w:t>
      </w:r>
      <w:r>
        <w:rPr>
          <w:rFonts w:hint="eastAsia"/>
          <w:sz w:val="22"/>
          <w:szCs w:val="28"/>
        </w:rPr>
        <w:t>·醚（熔</w:t>
      </w:r>
      <w:proofErr w:type="gramStart"/>
      <w:r>
        <w:rPr>
          <w:rFonts w:hint="eastAsia"/>
          <w:sz w:val="22"/>
          <w:szCs w:val="28"/>
        </w:rPr>
        <w:t>纤</w:t>
      </w:r>
      <w:proofErr w:type="gramEnd"/>
      <w:r>
        <w:rPr>
          <w:rFonts w:hint="eastAsia"/>
          <w:sz w:val="22"/>
          <w:szCs w:val="28"/>
        </w:rPr>
        <w:t>剂</w:t>
      </w:r>
      <w:r>
        <w:rPr>
          <w:rFonts w:hint="eastAsia"/>
          <w:sz w:val="22"/>
          <w:szCs w:val="28"/>
        </w:rPr>
        <w:t>-</w:t>
      </w:r>
      <w:r>
        <w:rPr>
          <w:rFonts w:hint="eastAsia"/>
          <w:sz w:val="22"/>
          <w:szCs w:val="28"/>
        </w:rPr>
        <w:t>乙二醇苯基醚等）</w:t>
      </w:r>
      <w:r>
        <w:rPr>
          <w:rFonts w:hint="eastAsia"/>
          <w:sz w:val="22"/>
          <w:szCs w:val="28"/>
        </w:rPr>
        <w:t> </w:t>
      </w:r>
      <w:r>
        <w:rPr>
          <w:rFonts w:hint="eastAsia"/>
          <w:sz w:val="22"/>
          <w:szCs w:val="28"/>
        </w:rPr>
        <w:t>·丙烯醛</w:t>
      </w:r>
      <w:r>
        <w:rPr>
          <w:rFonts w:hint="eastAsia"/>
          <w:sz w:val="22"/>
          <w:szCs w:val="28"/>
        </w:rPr>
        <w:t> </w:t>
      </w:r>
      <w:r>
        <w:rPr>
          <w:rFonts w:hint="eastAsia"/>
          <w:sz w:val="22"/>
          <w:szCs w:val="28"/>
        </w:rPr>
        <w:t>·酮（丙酮、甲基乙基酮等）</w:t>
      </w:r>
      <w:r>
        <w:rPr>
          <w:rFonts w:hint="eastAsia"/>
          <w:sz w:val="22"/>
          <w:szCs w:val="28"/>
        </w:rPr>
        <w:t>    </w:t>
      </w:r>
      <w:r>
        <w:rPr>
          <w:rFonts w:hint="eastAsia"/>
          <w:sz w:val="22"/>
          <w:szCs w:val="28"/>
        </w:rPr>
        <w:t>·烷烃（丁烷、己烷等）</w:t>
      </w:r>
      <w:r>
        <w:rPr>
          <w:rFonts w:hint="eastAsia"/>
          <w:sz w:val="22"/>
          <w:szCs w:val="28"/>
        </w:rPr>
        <w:t>        </w:t>
      </w:r>
      <w:r>
        <w:rPr>
          <w:rFonts w:hint="eastAsia"/>
          <w:sz w:val="22"/>
          <w:szCs w:val="28"/>
        </w:rPr>
        <w:t>·炔烃类</w:t>
      </w:r>
      <w:r>
        <w:rPr>
          <w:rFonts w:hint="eastAsia"/>
          <w:sz w:val="22"/>
          <w:szCs w:val="28"/>
        </w:rPr>
        <w:t> </w:t>
      </w:r>
      <w:r>
        <w:rPr>
          <w:rFonts w:hint="eastAsia"/>
          <w:sz w:val="22"/>
          <w:szCs w:val="28"/>
        </w:rPr>
        <w:t>·双组分混合物（硝酸和苯酚；硝酸和三乙胺；硝酸和丙酮等）</w:t>
      </w:r>
      <w:r>
        <w:rPr>
          <w:rFonts w:hint="eastAsia"/>
          <w:sz w:val="22"/>
          <w:szCs w:val="28"/>
        </w:rPr>
        <w:t>     </w:t>
      </w:r>
      <w:r>
        <w:rPr>
          <w:rFonts w:hint="eastAsia"/>
          <w:sz w:val="22"/>
          <w:szCs w:val="28"/>
        </w:rPr>
        <w:t>·硝酸甘油酯、硝化甘油或其它有机硝化物</w:t>
      </w:r>
    </w:p>
    <w:p w:rsidR="00E26F7E" w:rsidRDefault="00E26F7E">
      <w:pPr>
        <w:rPr>
          <w:sz w:val="22"/>
          <w:szCs w:val="28"/>
        </w:rPr>
      </w:pP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8"/>
          <w:szCs w:val="36"/>
        </w:rPr>
        <w:t>二、操作步骤：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2"/>
          <w:szCs w:val="28"/>
        </w:rPr>
        <w:t xml:space="preserve"> </w:t>
      </w:r>
      <w:bookmarkStart w:id="0" w:name="_GoBack"/>
      <w:bookmarkEnd w:id="0"/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、开机后及每次运行方法前，先确认各种传感器是否工作正常。</w:t>
      </w:r>
      <w:r>
        <w:rPr>
          <w:rFonts w:hint="eastAsia"/>
          <w:sz w:val="22"/>
          <w:szCs w:val="28"/>
        </w:rPr>
        <w:t xml:space="preserve">  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、称样：在密闭容器中消解样品，可能有潜在的危险，因此在实验初期对不明样品应通过颜色和嗅觉感知鉴别样品的特性，是否易燃、易挥发，并且严格控制样品量。按如下准则：样品应限制在≤</w:t>
      </w:r>
      <w:r>
        <w:rPr>
          <w:rFonts w:hint="eastAsia"/>
          <w:sz w:val="22"/>
          <w:szCs w:val="28"/>
        </w:rPr>
        <w:t>0.5</w:t>
      </w:r>
      <w:r w:rsidR="00CA11A7">
        <w:rPr>
          <w:rFonts w:hint="eastAsia"/>
          <w:sz w:val="22"/>
          <w:szCs w:val="28"/>
        </w:rPr>
        <w:t>克／容器</w:t>
      </w:r>
      <w:r>
        <w:rPr>
          <w:rFonts w:hint="eastAsia"/>
          <w:sz w:val="22"/>
          <w:szCs w:val="28"/>
        </w:rPr>
        <w:t>。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注意事项：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①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不熟悉的样品消解时</w:t>
      </w:r>
      <w:proofErr w:type="gramStart"/>
      <w:r>
        <w:rPr>
          <w:rFonts w:hint="eastAsia"/>
          <w:sz w:val="22"/>
          <w:szCs w:val="28"/>
        </w:rPr>
        <w:t>称样量应</w:t>
      </w:r>
      <w:proofErr w:type="gramEnd"/>
      <w:r>
        <w:rPr>
          <w:rFonts w:hint="eastAsia"/>
          <w:sz w:val="22"/>
          <w:szCs w:val="28"/>
        </w:rPr>
        <w:t>严格的限制在：</w:t>
      </w:r>
      <w:r>
        <w:rPr>
          <w:rFonts w:hint="eastAsia"/>
          <w:sz w:val="22"/>
          <w:szCs w:val="28"/>
        </w:rPr>
        <w:t>0.5</w:t>
      </w:r>
      <w:r>
        <w:rPr>
          <w:rFonts w:hint="eastAsia"/>
          <w:sz w:val="22"/>
          <w:szCs w:val="28"/>
        </w:rPr>
        <w:t>克以内。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②</w:t>
      </w:r>
      <w:r>
        <w:rPr>
          <w:rFonts w:hint="eastAsia"/>
          <w:sz w:val="22"/>
          <w:szCs w:val="28"/>
        </w:rPr>
        <w:t xml:space="preserve"> </w:t>
      </w:r>
      <w:proofErr w:type="gramStart"/>
      <w:r>
        <w:rPr>
          <w:rFonts w:hint="eastAsia"/>
          <w:sz w:val="22"/>
          <w:szCs w:val="28"/>
        </w:rPr>
        <w:t>称样量应</w:t>
      </w:r>
      <w:proofErr w:type="gramEnd"/>
      <w:r>
        <w:rPr>
          <w:rFonts w:hint="eastAsia"/>
          <w:sz w:val="22"/>
          <w:szCs w:val="28"/>
        </w:rPr>
        <w:t>尽量保持一致。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③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在同一批反应中，不可同时混用不同型号的反应罐。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④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加样时不要使样品沾在容器壁上，如</w:t>
      </w:r>
      <w:proofErr w:type="gramStart"/>
      <w:r>
        <w:rPr>
          <w:rFonts w:hint="eastAsia"/>
          <w:sz w:val="22"/>
          <w:szCs w:val="28"/>
        </w:rPr>
        <w:t>沾附请用</w:t>
      </w:r>
      <w:proofErr w:type="gramEnd"/>
      <w:r>
        <w:rPr>
          <w:rFonts w:hint="eastAsia"/>
          <w:sz w:val="22"/>
          <w:szCs w:val="28"/>
        </w:rPr>
        <w:t>溶剂或</w:t>
      </w:r>
      <w:proofErr w:type="gramStart"/>
      <w:r>
        <w:rPr>
          <w:rFonts w:hint="eastAsia"/>
          <w:sz w:val="22"/>
          <w:szCs w:val="28"/>
        </w:rPr>
        <w:t>去离子水洗入溶液</w:t>
      </w:r>
      <w:proofErr w:type="gramEnd"/>
      <w:r>
        <w:rPr>
          <w:rFonts w:hint="eastAsia"/>
          <w:sz w:val="22"/>
          <w:szCs w:val="28"/>
        </w:rPr>
        <w:t>内。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3</w:t>
      </w:r>
      <w:r w:rsidR="00CA11A7">
        <w:rPr>
          <w:rFonts w:hint="eastAsia"/>
          <w:sz w:val="22"/>
          <w:szCs w:val="28"/>
        </w:rPr>
        <w:t>、加酸：消解时溶剂量建议为</w:t>
      </w:r>
      <w:r w:rsidR="00CA11A7">
        <w:rPr>
          <w:rFonts w:hint="eastAsia"/>
          <w:sz w:val="22"/>
          <w:szCs w:val="28"/>
        </w:rPr>
        <w:t>8-10ml</w:t>
      </w:r>
      <w:r>
        <w:rPr>
          <w:rFonts w:hint="eastAsia"/>
          <w:sz w:val="22"/>
          <w:szCs w:val="28"/>
        </w:rPr>
        <w:t>。</w:t>
      </w:r>
      <w:r>
        <w:rPr>
          <w:rFonts w:hint="eastAsia"/>
          <w:sz w:val="22"/>
          <w:szCs w:val="28"/>
        </w:rPr>
        <w:t xml:space="preserve">     </w:t>
      </w:r>
      <w:r>
        <w:rPr>
          <w:rFonts w:hint="eastAsia"/>
          <w:sz w:val="22"/>
          <w:szCs w:val="28"/>
        </w:rPr>
        <w:t>注意事项：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①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同一批反应中不可同时使用不同的试剂体系（同一批反应必须使用相同的酸或溶剂）。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②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溶剂的选择：消解时对</w:t>
      </w:r>
      <w:r>
        <w:rPr>
          <w:rFonts w:hint="eastAsia"/>
          <w:sz w:val="22"/>
          <w:szCs w:val="28"/>
        </w:rPr>
        <w:t>HNO3</w:t>
      </w:r>
      <w:r>
        <w:rPr>
          <w:rFonts w:hint="eastAsia"/>
          <w:sz w:val="22"/>
          <w:szCs w:val="28"/>
        </w:rPr>
        <w:t>，</w:t>
      </w:r>
      <w:proofErr w:type="spellStart"/>
      <w:r>
        <w:rPr>
          <w:rFonts w:hint="eastAsia"/>
          <w:sz w:val="22"/>
          <w:szCs w:val="28"/>
        </w:rPr>
        <w:t>HCl</w:t>
      </w:r>
      <w:proofErr w:type="spellEnd"/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HF</w:t>
      </w:r>
      <w:r>
        <w:rPr>
          <w:rFonts w:hint="eastAsia"/>
          <w:sz w:val="22"/>
          <w:szCs w:val="28"/>
        </w:rPr>
        <w:t>的使用无限制；</w:t>
      </w:r>
      <w:r>
        <w:rPr>
          <w:rFonts w:hint="eastAsia"/>
          <w:sz w:val="22"/>
          <w:szCs w:val="28"/>
        </w:rPr>
        <w:t>H2SO4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H3PO4</w:t>
      </w:r>
      <w:r>
        <w:rPr>
          <w:rFonts w:hint="eastAsia"/>
          <w:sz w:val="22"/>
          <w:szCs w:val="28"/>
        </w:rPr>
        <w:t>会产生高温，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使用时应该有严格的温控；</w:t>
      </w:r>
      <w:r>
        <w:rPr>
          <w:rFonts w:hint="eastAsia"/>
          <w:sz w:val="22"/>
          <w:szCs w:val="28"/>
        </w:rPr>
        <w:t xml:space="preserve"> HClO4</w:t>
      </w:r>
      <w:r>
        <w:rPr>
          <w:rFonts w:hint="eastAsia"/>
          <w:sz w:val="22"/>
          <w:szCs w:val="28"/>
        </w:rPr>
        <w:t>在密闭容器中使用有很大的危险性，禁止使用。</w:t>
      </w:r>
      <w:r>
        <w:rPr>
          <w:rFonts w:hint="eastAsia"/>
          <w:sz w:val="22"/>
          <w:szCs w:val="28"/>
        </w:rPr>
        <w:t xml:space="preserve"> 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容器安装：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①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反应罐密封：严格确认反应罐的螺帽是否已经拧紧。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②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保证每个</w:t>
      </w:r>
      <w:proofErr w:type="gramStart"/>
      <w:r>
        <w:rPr>
          <w:rFonts w:hint="eastAsia"/>
          <w:sz w:val="22"/>
          <w:szCs w:val="28"/>
        </w:rPr>
        <w:t>内衬罐都已</w:t>
      </w:r>
      <w:proofErr w:type="gramEnd"/>
      <w:r>
        <w:rPr>
          <w:rFonts w:hint="eastAsia"/>
          <w:sz w:val="22"/>
          <w:szCs w:val="28"/>
        </w:rPr>
        <w:t>安装好外壳保护套，同时保证保护套为干燥状态。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③</w:t>
      </w:r>
      <w:r>
        <w:rPr>
          <w:rFonts w:hint="eastAsia"/>
          <w:sz w:val="22"/>
          <w:szCs w:val="28"/>
        </w:rPr>
        <w:t xml:space="preserve">  CEM</w:t>
      </w:r>
      <w:r>
        <w:rPr>
          <w:rFonts w:hint="eastAsia"/>
          <w:sz w:val="22"/>
          <w:szCs w:val="28"/>
        </w:rPr>
        <w:t>仪器均为自动功率输出，但仍应注意功率与</w:t>
      </w:r>
      <w:proofErr w:type="gramStart"/>
      <w:r>
        <w:rPr>
          <w:rFonts w:hint="eastAsia"/>
          <w:sz w:val="22"/>
          <w:szCs w:val="28"/>
        </w:rPr>
        <w:t>消解罐数的</w:t>
      </w:r>
      <w:proofErr w:type="gramEnd"/>
      <w:r>
        <w:rPr>
          <w:rFonts w:hint="eastAsia"/>
          <w:sz w:val="22"/>
          <w:szCs w:val="28"/>
        </w:rPr>
        <w:t>匹配关系，一般原则：</w:t>
      </w:r>
      <w:r>
        <w:rPr>
          <w:rFonts w:hint="eastAsia"/>
          <w:sz w:val="22"/>
          <w:szCs w:val="28"/>
        </w:rPr>
        <w:t xml:space="preserve"> 8-16</w:t>
      </w: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600W</w:t>
      </w:r>
      <w:r>
        <w:rPr>
          <w:rFonts w:hint="eastAsia"/>
          <w:sz w:val="22"/>
          <w:szCs w:val="28"/>
        </w:rPr>
        <w:t>）；</w:t>
      </w:r>
      <w:r>
        <w:rPr>
          <w:rFonts w:hint="eastAsia"/>
          <w:sz w:val="22"/>
          <w:szCs w:val="28"/>
        </w:rPr>
        <w:t>16-24</w:t>
      </w: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800W</w:t>
      </w:r>
      <w:r>
        <w:rPr>
          <w:rFonts w:hint="eastAsia"/>
          <w:sz w:val="22"/>
          <w:szCs w:val="28"/>
        </w:rPr>
        <w:t>）；</w:t>
      </w:r>
      <w:r>
        <w:rPr>
          <w:rFonts w:hint="eastAsia"/>
          <w:sz w:val="22"/>
          <w:szCs w:val="28"/>
        </w:rPr>
        <w:t>24-32</w:t>
      </w: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1000W</w:t>
      </w:r>
      <w:r>
        <w:rPr>
          <w:rFonts w:hint="eastAsia"/>
          <w:sz w:val="22"/>
          <w:szCs w:val="28"/>
        </w:rPr>
        <w:t>）；</w:t>
      </w:r>
      <w:r>
        <w:rPr>
          <w:rFonts w:hint="eastAsia"/>
          <w:sz w:val="22"/>
          <w:szCs w:val="28"/>
        </w:rPr>
        <w:t>32-40</w:t>
      </w: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1200W</w:t>
      </w:r>
      <w:r>
        <w:rPr>
          <w:rFonts w:hint="eastAsia"/>
          <w:sz w:val="22"/>
          <w:szCs w:val="28"/>
        </w:rPr>
        <w:t>及以上）。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载入方法</w:t>
      </w:r>
      <w:r>
        <w:rPr>
          <w:rFonts w:hint="eastAsia"/>
          <w:sz w:val="22"/>
          <w:szCs w:val="28"/>
        </w:rPr>
        <w:t>Classic method</w:t>
      </w:r>
      <w:r>
        <w:rPr>
          <w:rFonts w:hint="eastAsia"/>
          <w:sz w:val="22"/>
          <w:szCs w:val="28"/>
        </w:rPr>
        <w:t>或编辑</w:t>
      </w:r>
      <w:r>
        <w:rPr>
          <w:rFonts w:hint="eastAsia"/>
          <w:sz w:val="22"/>
          <w:szCs w:val="28"/>
        </w:rPr>
        <w:t>/</w:t>
      </w:r>
      <w:r>
        <w:rPr>
          <w:rFonts w:hint="eastAsia"/>
          <w:sz w:val="22"/>
          <w:szCs w:val="28"/>
        </w:rPr>
        <w:t>创建方法</w:t>
      </w:r>
      <w:r>
        <w:rPr>
          <w:rFonts w:hint="eastAsia"/>
          <w:sz w:val="22"/>
          <w:szCs w:val="28"/>
        </w:rPr>
        <w:t xml:space="preserve">edit/creative method </w:t>
      </w:r>
      <w:r>
        <w:rPr>
          <w:rFonts w:hint="eastAsia"/>
          <w:sz w:val="22"/>
          <w:szCs w:val="28"/>
        </w:rPr>
        <w:t>－→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选择方法（或新方法）－→选择样品形式（</w:t>
      </w:r>
      <w:r>
        <w:rPr>
          <w:rFonts w:hint="eastAsia"/>
          <w:sz w:val="22"/>
          <w:szCs w:val="28"/>
        </w:rPr>
        <w:t>Organic</w:t>
      </w:r>
      <w:r>
        <w:rPr>
          <w:rFonts w:hint="eastAsia"/>
          <w:sz w:val="22"/>
          <w:szCs w:val="28"/>
        </w:rPr>
        <w:t>）－→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选择控制模式（</w:t>
      </w:r>
      <w:r>
        <w:rPr>
          <w:rFonts w:hint="eastAsia"/>
          <w:sz w:val="22"/>
          <w:szCs w:val="28"/>
        </w:rPr>
        <w:t>RAMP TO     TEMPERATURE</w:t>
      </w:r>
      <w:r>
        <w:rPr>
          <w:rFonts w:hint="eastAsia"/>
          <w:sz w:val="22"/>
          <w:szCs w:val="28"/>
        </w:rPr>
        <w:t>）－→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设定反应方法</w:t>
      </w:r>
      <w:r>
        <w:rPr>
          <w:rFonts w:hint="eastAsia"/>
          <w:sz w:val="22"/>
          <w:szCs w:val="28"/>
        </w:rPr>
        <w:t>(</w:t>
      </w:r>
      <w:r>
        <w:rPr>
          <w:rFonts w:hint="eastAsia"/>
          <w:sz w:val="22"/>
          <w:szCs w:val="28"/>
        </w:rPr>
        <w:t>最大功率、爬坡时间、目标温度、保持时间</w:t>
      </w:r>
      <w:r>
        <w:rPr>
          <w:rFonts w:hint="eastAsia"/>
          <w:sz w:val="22"/>
          <w:szCs w:val="28"/>
        </w:rPr>
        <w:t xml:space="preserve">) </w:t>
      </w:r>
      <w:r>
        <w:rPr>
          <w:rFonts w:hint="eastAsia"/>
          <w:sz w:val="22"/>
          <w:szCs w:val="28"/>
        </w:rPr>
        <w:t>－→方法命名－→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填</w:t>
      </w:r>
      <w:r>
        <w:rPr>
          <w:rFonts w:hint="eastAsia"/>
          <w:sz w:val="22"/>
          <w:szCs w:val="28"/>
        </w:rPr>
        <w:lastRenderedPageBreak/>
        <w:t>写实验备忘（可省略）－→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保存方法。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摆放消解罐：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2"/>
          <w:szCs w:val="28"/>
        </w:rPr>
        <w:t>为了规范仪器的操作，应保证反应罐对称放置于转盘上。反应</w:t>
      </w:r>
      <w:proofErr w:type="gramStart"/>
      <w:r>
        <w:rPr>
          <w:rFonts w:hint="eastAsia"/>
          <w:sz w:val="22"/>
          <w:szCs w:val="28"/>
        </w:rPr>
        <w:t>罐按照</w:t>
      </w:r>
      <w:proofErr w:type="gramEnd"/>
      <w:r>
        <w:rPr>
          <w:rFonts w:hint="eastAsia"/>
          <w:sz w:val="22"/>
          <w:szCs w:val="28"/>
        </w:rPr>
        <w:t>安放图安装好后，将转盘安放于仪器腔体中。为减少多模</w:t>
      </w:r>
      <w:proofErr w:type="gramStart"/>
      <w:r>
        <w:rPr>
          <w:rFonts w:hint="eastAsia"/>
          <w:sz w:val="22"/>
          <w:szCs w:val="28"/>
        </w:rPr>
        <w:t>微波场</w:t>
      </w:r>
      <w:proofErr w:type="gramEnd"/>
      <w:r>
        <w:rPr>
          <w:rFonts w:hint="eastAsia"/>
          <w:sz w:val="22"/>
          <w:szCs w:val="28"/>
        </w:rPr>
        <w:t>的影响，每批</w:t>
      </w:r>
      <w:proofErr w:type="gramStart"/>
      <w:r>
        <w:rPr>
          <w:rFonts w:hint="eastAsia"/>
          <w:sz w:val="22"/>
          <w:szCs w:val="28"/>
        </w:rPr>
        <w:t>反应罐数应</w:t>
      </w:r>
      <w:proofErr w:type="gramEnd"/>
      <w:r>
        <w:rPr>
          <w:rFonts w:hint="eastAsia"/>
          <w:sz w:val="22"/>
          <w:szCs w:val="28"/>
        </w:rPr>
        <w:t>≥</w:t>
      </w:r>
      <w:r>
        <w:rPr>
          <w:rFonts w:hint="eastAsia"/>
          <w:sz w:val="22"/>
          <w:szCs w:val="28"/>
        </w:rPr>
        <w:t>8</w:t>
      </w:r>
      <w:r>
        <w:rPr>
          <w:rFonts w:hint="eastAsia"/>
          <w:sz w:val="22"/>
          <w:szCs w:val="28"/>
        </w:rPr>
        <w:t>罐。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按</w:t>
      </w:r>
      <w:r>
        <w:rPr>
          <w:rFonts w:hint="eastAsia"/>
          <w:sz w:val="22"/>
          <w:szCs w:val="28"/>
        </w:rPr>
        <w:t>star/pause</w:t>
      </w:r>
      <w:r>
        <w:rPr>
          <w:rFonts w:hint="eastAsia"/>
          <w:sz w:val="22"/>
          <w:szCs w:val="28"/>
        </w:rPr>
        <w:t>键开始消解程序</w:t>
      </w:r>
      <w:r>
        <w:rPr>
          <w:rFonts w:hint="eastAsia"/>
          <w:sz w:val="22"/>
          <w:szCs w:val="28"/>
        </w:rPr>
        <w:t xml:space="preserve">  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消解过程中如发现有异常现象按</w:t>
      </w:r>
      <w:r>
        <w:rPr>
          <w:rFonts w:hint="eastAsia"/>
          <w:sz w:val="22"/>
          <w:szCs w:val="28"/>
        </w:rPr>
        <w:t>star/pause</w:t>
      </w:r>
      <w:r>
        <w:rPr>
          <w:rFonts w:hint="eastAsia"/>
          <w:sz w:val="22"/>
          <w:szCs w:val="28"/>
        </w:rPr>
        <w:t>键即可暂停程序，再次按下</w:t>
      </w:r>
      <w:r>
        <w:rPr>
          <w:rFonts w:hint="eastAsia"/>
          <w:sz w:val="22"/>
          <w:szCs w:val="28"/>
        </w:rPr>
        <w:t>star/pause</w:t>
      </w:r>
      <w:r>
        <w:rPr>
          <w:rFonts w:hint="eastAsia"/>
          <w:sz w:val="22"/>
          <w:szCs w:val="28"/>
        </w:rPr>
        <w:t>键继续；按</w:t>
      </w:r>
      <w:r>
        <w:rPr>
          <w:rFonts w:hint="eastAsia"/>
          <w:sz w:val="22"/>
          <w:szCs w:val="28"/>
        </w:rPr>
        <w:t xml:space="preserve"> stop</w:t>
      </w:r>
      <w:r>
        <w:rPr>
          <w:rFonts w:hint="eastAsia"/>
          <w:sz w:val="22"/>
          <w:szCs w:val="28"/>
        </w:rPr>
        <w:t>键停止消解。</w:t>
      </w:r>
      <w:r>
        <w:rPr>
          <w:rFonts w:hint="eastAsia"/>
          <w:sz w:val="22"/>
          <w:szCs w:val="28"/>
        </w:rPr>
        <w:t xml:space="preserve">  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消解程序完成后，仪器自动进入冷却过程。</w:t>
      </w:r>
      <w:r>
        <w:rPr>
          <w:rFonts w:hint="eastAsia"/>
          <w:sz w:val="22"/>
          <w:szCs w:val="28"/>
        </w:rPr>
        <w:t xml:space="preserve"> 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最后进行相关后续操作，包括赶酸、转移、定容等。</w:t>
      </w:r>
    </w:p>
    <w:p w:rsidR="00E26F7E" w:rsidRDefault="00E26F7E">
      <w:pPr>
        <w:rPr>
          <w:sz w:val="22"/>
          <w:szCs w:val="28"/>
        </w:rPr>
      </w:pPr>
    </w:p>
    <w:p w:rsidR="00E26F7E" w:rsidRDefault="004F4E0B">
      <w:pPr>
        <w:numPr>
          <w:ilvl w:val="0"/>
          <w:numId w:val="1"/>
        </w:numPr>
        <w:rPr>
          <w:sz w:val="22"/>
          <w:szCs w:val="28"/>
        </w:rPr>
      </w:pPr>
      <w:r>
        <w:rPr>
          <w:rFonts w:hint="eastAsia"/>
          <w:sz w:val="22"/>
          <w:szCs w:val="28"/>
        </w:rPr>
        <w:t>关机：待反应结束</w:t>
      </w:r>
      <w:r>
        <w:rPr>
          <w:rFonts w:hint="eastAsia"/>
          <w:sz w:val="22"/>
          <w:szCs w:val="28"/>
        </w:rPr>
        <w:t>15</w:t>
      </w:r>
      <w:r>
        <w:rPr>
          <w:rFonts w:hint="eastAsia"/>
          <w:sz w:val="22"/>
          <w:szCs w:val="28"/>
        </w:rPr>
        <w:t>分钟后再关机。</w:t>
      </w:r>
      <w:r>
        <w:rPr>
          <w:rFonts w:hint="eastAsia"/>
          <w:sz w:val="22"/>
          <w:szCs w:val="28"/>
        </w:rPr>
        <w:t xml:space="preserve">       </w:t>
      </w:r>
      <w:r>
        <w:rPr>
          <w:rFonts w:hint="eastAsia"/>
          <w:sz w:val="22"/>
          <w:szCs w:val="28"/>
        </w:rPr>
        <w:t>注意：开关机间隔至少一分钟。</w:t>
      </w:r>
    </w:p>
    <w:p w:rsidR="00E26F7E" w:rsidRDefault="00E26F7E"/>
    <w:p w:rsidR="00E26F7E" w:rsidRDefault="00E26F7E"/>
    <w:tbl>
      <w:tblPr>
        <w:tblW w:w="8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"/>
        <w:gridCol w:w="1320"/>
        <w:gridCol w:w="380"/>
        <w:gridCol w:w="4940"/>
        <w:gridCol w:w="1740"/>
        <w:gridCol w:w="80"/>
      </w:tblGrid>
      <w:tr w:rsidR="00E26F7E">
        <w:trPr>
          <w:trHeight w:val="713"/>
        </w:trPr>
        <w:tc>
          <w:tcPr>
            <w:tcW w:w="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40" w:type="dxa"/>
            <w:gridSpan w:val="3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</w:t>
            </w:r>
            <w:r>
              <w:rPr>
                <w:rFonts w:ascii="宋体" w:eastAsia="宋体" w:hAnsi="宋体"/>
                <w:sz w:val="24"/>
              </w:rPr>
              <w:t>仪器的日常维护保养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76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26F7E">
        <w:trPr>
          <w:trHeight w:val="34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29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描述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11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26F7E">
        <w:trPr>
          <w:trHeight w:val="48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2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使用前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检查微波腔体、腔体保护板、转盘、外套是否干燥清洁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21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6680" w:type="dxa"/>
            <w:gridSpan w:val="2"/>
            <w:vMerge w:val="restart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检查反应罐部件特别是外套、转盘、内衬、和盖子是否干燥，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26F7E">
        <w:trPr>
          <w:trHeight w:val="25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80" w:type="dxa"/>
            <w:gridSpan w:val="2"/>
            <w:vMerge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26F7E">
        <w:trPr>
          <w:trHeight w:val="4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清洁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48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494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检查消解罐及外套是否有裂纹或变型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9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26F7E">
        <w:trPr>
          <w:trHeight w:val="36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用干净柔软的毛巾清洁仪器表面、微波腔体、腔体保护板、转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4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盘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50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内衬、盖子用自来水冲洗后，浸泡于 </w:t>
            </w:r>
            <w:r>
              <w:rPr>
                <w:rFonts w:ascii="Times New Roman" w:eastAsia="Times New Roman" w:hAnsi="Times New Roman"/>
                <w:sz w:val="24"/>
              </w:rPr>
              <w:t>20%</w:t>
            </w:r>
            <w:r>
              <w:rPr>
                <w:rFonts w:ascii="宋体" w:eastAsia="宋体" w:hAnsi="宋体"/>
                <w:sz w:val="24"/>
              </w:rPr>
              <w:t>的硝酸溶液中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265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4F4E0B">
            <w:pPr>
              <w:spacing w:line="265" w:lineRule="exact"/>
              <w:ind w:left="2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使用后</w:t>
            </w: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4940" w:type="dxa"/>
            <w:vMerge w:val="restart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外套可用干净的毛巾擦拭，但不可用水消洗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6F7E">
        <w:trPr>
          <w:trHeight w:val="18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940" w:type="dxa"/>
            <w:vMerge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26F7E">
        <w:trPr>
          <w:trHeight w:val="46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80"/>
              <w:rPr>
                <w:rFonts w:ascii="Wingdings" w:eastAsia="Wingdings" w:hAnsi="Wingdings"/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</w:t>
            </w:r>
          </w:p>
        </w:tc>
        <w:tc>
          <w:tcPr>
            <w:tcW w:w="6680" w:type="dxa"/>
            <w:gridSpan w:val="2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每三个月对微波消解管进行清洗以消除记忆：在反应罐中加入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49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:rsidR="00E26F7E" w:rsidRDefault="004F4E0B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硝酸，运行洗罐程序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6F7E">
        <w:trPr>
          <w:trHeight w:val="21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F7E" w:rsidRDefault="00E26F7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E26F7E" w:rsidRDefault="00E26F7E">
      <w:pPr>
        <w:spacing w:line="200" w:lineRule="exact"/>
        <w:rPr>
          <w:rFonts w:ascii="Times New Roman" w:eastAsia="Times New Roman" w:hAnsi="Times New Roman"/>
        </w:rPr>
      </w:pPr>
    </w:p>
    <w:p w:rsidR="00E26F7E" w:rsidRDefault="00E26F7E"/>
    <w:p w:rsidR="00E26F7E" w:rsidRDefault="00E26F7E"/>
    <w:p w:rsidR="00E26F7E" w:rsidRDefault="00E26F7E"/>
    <w:sectPr w:rsidR="00E26F7E" w:rsidSect="00E2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1B" w:rsidRDefault="0064311B" w:rsidP="00CA11A7">
      <w:r>
        <w:separator/>
      </w:r>
    </w:p>
  </w:endnote>
  <w:endnote w:type="continuationSeparator" w:id="0">
    <w:p w:rsidR="0064311B" w:rsidRDefault="0064311B" w:rsidP="00CA1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1B" w:rsidRDefault="0064311B" w:rsidP="00CA11A7">
      <w:r>
        <w:separator/>
      </w:r>
    </w:p>
  </w:footnote>
  <w:footnote w:type="continuationSeparator" w:id="0">
    <w:p w:rsidR="0064311B" w:rsidRDefault="0064311B" w:rsidP="00CA1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1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58ABFEC7"/>
    <w:multiLevelType w:val="singleLevel"/>
    <w:tmpl w:val="58ABFEC7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4D0B8A"/>
    <w:rsid w:val="004F4E0B"/>
    <w:rsid w:val="0064311B"/>
    <w:rsid w:val="00AC39B5"/>
    <w:rsid w:val="00CA11A7"/>
    <w:rsid w:val="00E26F7E"/>
    <w:rsid w:val="00F06D15"/>
    <w:rsid w:val="264D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F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6F7E"/>
    <w:rPr>
      <w:sz w:val="24"/>
    </w:rPr>
  </w:style>
  <w:style w:type="paragraph" w:styleId="a4">
    <w:name w:val="header"/>
    <w:basedOn w:val="a"/>
    <w:link w:val="Char"/>
    <w:rsid w:val="00CA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11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A1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11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2018-03-14T22:58:00Z</dcterms:created>
  <dcterms:modified xsi:type="dcterms:W3CDTF">2018-05-04T06:29:00Z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